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78" w:rsidRDefault="00A465D8" w:rsidP="00735678">
      <w:pPr>
        <w:rPr>
          <w:u w:val="single"/>
        </w:rPr>
      </w:pPr>
      <w:proofErr w:type="spellStart"/>
      <w:r w:rsidRPr="00AC43CC">
        <w:rPr>
          <w:u w:val="single"/>
        </w:rPr>
        <w:t>LéA</w:t>
      </w:r>
      <w:proofErr w:type="spellEnd"/>
      <w:r w:rsidRPr="00AC43CC">
        <w:rPr>
          <w:u w:val="single"/>
        </w:rPr>
        <w:t> :</w:t>
      </w:r>
      <w:r w:rsidR="001C1618">
        <w:rPr>
          <w:u w:val="single"/>
        </w:rPr>
        <w:t xml:space="preserve"> </w:t>
      </w:r>
      <w:proofErr w:type="spellStart"/>
      <w:r w:rsidR="001C1618">
        <w:rPr>
          <w:u w:val="single"/>
        </w:rPr>
        <w:t>EvaCoDICE</w:t>
      </w:r>
      <w:proofErr w:type="spellEnd"/>
    </w:p>
    <w:p w:rsidR="00A465D8" w:rsidRPr="00AC43CC" w:rsidRDefault="003E50FF" w:rsidP="00735678">
      <w:pPr>
        <w:rPr>
          <w:u w:val="single"/>
        </w:rPr>
      </w:pPr>
      <w:r>
        <w:rPr>
          <w:u w:val="single"/>
        </w:rPr>
        <w:t>Un collectif pour combiner évaluation formative et démarches d’investigation</w:t>
      </w:r>
    </w:p>
    <w:p w:rsidR="00A465D8" w:rsidRDefault="00A465D8"/>
    <w:p w:rsidR="00A465D8" w:rsidRPr="00735678" w:rsidRDefault="00E1395E" w:rsidP="00735678">
      <w:pPr>
        <w:rPr>
          <w:u w:val="single"/>
        </w:rPr>
      </w:pPr>
      <w:r w:rsidRPr="00AC43CC">
        <w:t>Communication</w:t>
      </w:r>
      <w:r w:rsidR="00A465D8" w:rsidRPr="00AC43CC">
        <w:t xml:space="preserve"> orale</w:t>
      </w:r>
    </w:p>
    <w:p w:rsidR="00A465D8" w:rsidRPr="00AC43CC" w:rsidRDefault="005367B2">
      <w:pPr>
        <w:rPr>
          <w:u w:val="single"/>
        </w:rPr>
      </w:pPr>
      <w:r>
        <w:rPr>
          <w:u w:val="single"/>
        </w:rPr>
        <w:t xml:space="preserve">Travail </w:t>
      </w:r>
      <w:r w:rsidR="003E50FF">
        <w:rPr>
          <w:u w:val="single"/>
        </w:rPr>
        <w:t xml:space="preserve">collectif, formation professionnelle, enseignement scientifique, </w:t>
      </w:r>
      <w:r w:rsidR="00E1395E">
        <w:rPr>
          <w:u w:val="single"/>
        </w:rPr>
        <w:t>évaluation</w:t>
      </w:r>
      <w:r>
        <w:rPr>
          <w:u w:val="single"/>
        </w:rPr>
        <w:t xml:space="preserve"> formative</w:t>
      </w:r>
    </w:p>
    <w:p w:rsidR="00A465D8" w:rsidRDefault="00A465D8"/>
    <w:p w:rsidR="005367B2" w:rsidRDefault="005367B2">
      <w:r>
        <w:t>Auteurs :</w:t>
      </w:r>
    </w:p>
    <w:p w:rsidR="005367B2" w:rsidRDefault="005367B2">
      <w:r>
        <w:t xml:space="preserve">Michel Grangeat, David Cross, Céline </w:t>
      </w:r>
      <w:proofErr w:type="spellStart"/>
      <w:r>
        <w:t>Lepareur</w:t>
      </w:r>
      <w:proofErr w:type="spellEnd"/>
      <w:r w:rsidR="007F5FDE">
        <w:t xml:space="preserve">, </w:t>
      </w:r>
      <w:r w:rsidR="007F5FDE" w:rsidRPr="007F5FDE">
        <w:t>Martine Saint-Aman</w:t>
      </w:r>
    </w:p>
    <w:p w:rsidR="007D5C9A" w:rsidRPr="007D5C9A" w:rsidRDefault="007D5C9A" w:rsidP="007D5C9A">
      <w:pPr>
        <w:ind w:firstLine="0"/>
        <w:rPr>
          <w:rFonts w:ascii="Calibri-BoldItalic" w:hAnsi="Calibri-BoldItalic" w:cs="Calibri-BoldItalic"/>
          <w:bCs/>
          <w:i/>
          <w:iCs/>
          <w:szCs w:val="28"/>
          <w:lang w:eastAsia="fr-FR"/>
        </w:rPr>
      </w:pPr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Michel Grangeat, Professeur de Sciences de l’Education, </w:t>
      </w:r>
      <w:proofErr w:type="spellStart"/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>univ</w:t>
      </w:r>
      <w:proofErr w:type="spellEnd"/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. </w:t>
      </w:r>
      <w:r w:rsidRPr="007D5C9A">
        <w:rPr>
          <w:rFonts w:ascii="Calibri-BoldItalic" w:hAnsi="Calibri-BoldItalic" w:cs="Calibri-BoldItalic"/>
          <w:bCs/>
          <w:i/>
          <w:iCs/>
          <w:szCs w:val="28"/>
          <w:lang w:eastAsia="fr-FR"/>
        </w:rPr>
        <w:t>Grenoble Alpes, L.S.E</w:t>
      </w:r>
    </w:p>
    <w:p w:rsidR="007D5C9A" w:rsidRDefault="007D5C9A" w:rsidP="007D5C9A">
      <w:pPr>
        <w:ind w:firstLine="0"/>
        <w:rPr>
          <w:rFonts w:ascii="Calibri-BoldItalic" w:hAnsi="Calibri-BoldItalic" w:cs="Calibri-BoldItalic"/>
          <w:bCs/>
          <w:i/>
          <w:iCs/>
          <w:szCs w:val="28"/>
          <w:lang w:eastAsia="fr-FR"/>
        </w:rPr>
      </w:pPr>
      <w:r w:rsidRPr="007D5C9A">
        <w:rPr>
          <w:rFonts w:ascii="Calibri-BoldItalic" w:hAnsi="Calibri-BoldItalic" w:cs="Calibri-BoldItalic"/>
          <w:bCs/>
          <w:i/>
          <w:iCs/>
          <w:szCs w:val="28"/>
          <w:lang w:eastAsia="fr-FR"/>
        </w:rPr>
        <w:t>David Cross, Ingénieur de recherche projet ASSIST-ME</w:t>
      </w:r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, </w:t>
      </w:r>
      <w:proofErr w:type="spellStart"/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>univ</w:t>
      </w:r>
      <w:proofErr w:type="spellEnd"/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. </w:t>
      </w:r>
      <w:r w:rsidRPr="007D5C9A">
        <w:rPr>
          <w:rFonts w:ascii="Calibri-BoldItalic" w:hAnsi="Calibri-BoldItalic" w:cs="Calibri-BoldItalic"/>
          <w:bCs/>
          <w:i/>
          <w:iCs/>
          <w:szCs w:val="28"/>
          <w:lang w:eastAsia="fr-FR"/>
        </w:rPr>
        <w:t>Grenoble Alpes, L.S.E</w:t>
      </w:r>
    </w:p>
    <w:p w:rsidR="007D5C9A" w:rsidRDefault="007D5C9A" w:rsidP="007D5C9A">
      <w:pPr>
        <w:ind w:firstLine="0"/>
        <w:rPr>
          <w:rFonts w:ascii="Calibri-BoldItalic" w:hAnsi="Calibri-BoldItalic" w:cs="Calibri-BoldItalic"/>
          <w:bCs/>
          <w:i/>
          <w:iCs/>
          <w:szCs w:val="28"/>
          <w:lang w:eastAsia="fr-FR"/>
        </w:rPr>
      </w:pPr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Céline </w:t>
      </w:r>
      <w:proofErr w:type="spellStart"/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>Lepareur</w:t>
      </w:r>
      <w:proofErr w:type="spellEnd"/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, doctorante, Arc 5, </w:t>
      </w:r>
      <w:proofErr w:type="spellStart"/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>univ</w:t>
      </w:r>
      <w:proofErr w:type="spellEnd"/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 xml:space="preserve">. </w:t>
      </w:r>
      <w:r w:rsidRPr="007D5C9A">
        <w:rPr>
          <w:rFonts w:ascii="Calibri-BoldItalic" w:hAnsi="Calibri-BoldItalic" w:cs="Calibri-BoldItalic"/>
          <w:bCs/>
          <w:i/>
          <w:iCs/>
          <w:szCs w:val="28"/>
          <w:lang w:eastAsia="fr-FR"/>
        </w:rPr>
        <w:t>Grenoble Alpes, L.S.E</w:t>
      </w:r>
    </w:p>
    <w:p w:rsidR="007130E1" w:rsidRPr="007D5C9A" w:rsidRDefault="007130E1" w:rsidP="007D5C9A">
      <w:pPr>
        <w:ind w:firstLine="0"/>
      </w:pPr>
      <w:r>
        <w:rPr>
          <w:rFonts w:ascii="Calibri-BoldItalic" w:hAnsi="Calibri-BoldItalic" w:cs="Calibri-BoldItalic"/>
          <w:bCs/>
          <w:i/>
          <w:iCs/>
          <w:szCs w:val="28"/>
          <w:lang w:eastAsia="fr-FR"/>
        </w:rPr>
        <w:t>Martine Saint-Aman, Principale adjointe, Collège Gérard Philipe, Fontaine, Isère</w:t>
      </w:r>
    </w:p>
    <w:p w:rsidR="005367B2" w:rsidRDefault="005367B2"/>
    <w:p w:rsidR="00A465D8" w:rsidRPr="00AC43CC" w:rsidRDefault="00E1395E" w:rsidP="00A465D8">
      <w:pPr>
        <w:rPr>
          <w:u w:val="single"/>
        </w:rPr>
      </w:pPr>
      <w:r>
        <w:rPr>
          <w:u w:val="single"/>
        </w:rPr>
        <w:t>Thématiques IFÉ </w:t>
      </w:r>
      <w:r>
        <w:t>:</w:t>
      </w:r>
      <w:bookmarkStart w:id="0" w:name="_GoBack"/>
      <w:bookmarkEnd w:id="0"/>
    </w:p>
    <w:p w:rsidR="00A465D8" w:rsidRDefault="00A465D8" w:rsidP="00A465D8">
      <w:r>
        <w:t>Apprentissages et socialisations</w:t>
      </w:r>
    </w:p>
    <w:p w:rsidR="00A465D8" w:rsidRPr="003E50FF" w:rsidRDefault="00A465D8" w:rsidP="00A465D8">
      <w:pPr>
        <w:rPr>
          <w:u w:val="single"/>
        </w:rPr>
      </w:pPr>
      <w:r w:rsidRPr="003E50FF">
        <w:rPr>
          <w:u w:val="single"/>
        </w:rPr>
        <w:t>Professions et professionnalités éducatives</w:t>
      </w:r>
    </w:p>
    <w:p w:rsidR="00A465D8" w:rsidRDefault="00A465D8" w:rsidP="00A465D8">
      <w:r>
        <w:t>Le numérique en éducation et en formation</w:t>
      </w:r>
    </w:p>
    <w:p w:rsidR="00A465D8" w:rsidRDefault="00A465D8" w:rsidP="00A465D8">
      <w:r>
        <w:t>Efficacité et justice des systèmes éducatifs</w:t>
      </w:r>
    </w:p>
    <w:p w:rsidR="00A465D8" w:rsidRDefault="00A465D8" w:rsidP="00A465D8">
      <w:r>
        <w:t xml:space="preserve">Les ressources pour apprendre et faire apprendre </w:t>
      </w:r>
    </w:p>
    <w:p w:rsidR="00A465D8" w:rsidRDefault="00A465D8" w:rsidP="00E1395E">
      <w:pPr>
        <w:ind w:firstLine="0"/>
      </w:pPr>
    </w:p>
    <w:p w:rsidR="00A465D8" w:rsidRDefault="003E50FF">
      <w:r>
        <w:t xml:space="preserve">Les enseignements scientifiques fondés sur l’investigation mettent en jeu des démarches complexes difficiles à mettre en œuvre. Les glissements didactiques qui font manquer l’objectif initial de la séquence sont fréquents </w:t>
      </w:r>
      <w:r w:rsidR="00B76F2D" w:rsidRPr="00B76F2D">
        <w:rPr>
          <w:rFonts w:cs="Arial"/>
        </w:rPr>
        <w:t>(Triquet &amp; Guillaud, 2011)</w:t>
      </w:r>
      <w:r>
        <w:t>. L’oubli de dimensions essentielles de l’activité réduit les bénéfices que les élèves pourraient en tirer</w:t>
      </w:r>
      <w:r w:rsidR="00B76F2D">
        <w:t xml:space="preserve"> </w:t>
      </w:r>
      <w:r w:rsidR="00B76F2D" w:rsidRPr="00B76F2D">
        <w:rPr>
          <w:rFonts w:cs="Arial"/>
        </w:rPr>
        <w:t>(Grangeat, 2013)</w:t>
      </w:r>
      <w:r>
        <w:t>. Les jeux d’apprentissage perdent facilement de leur richesse épistémologique si la relation entre contrat et milieu didactique</w:t>
      </w:r>
      <w:r w:rsidR="00E1395E">
        <w:t>s</w:t>
      </w:r>
      <w:r>
        <w:t xml:space="preserve"> est déséquilibrée</w:t>
      </w:r>
      <w:r w:rsidR="00B76F2D">
        <w:t xml:space="preserve"> </w:t>
      </w:r>
      <w:r w:rsidR="00B76F2D" w:rsidRPr="00B76F2D">
        <w:rPr>
          <w:rFonts w:cs="Arial"/>
          <w:szCs w:val="24"/>
        </w:rPr>
        <w:t>(Cross &amp; Grangeat, s. d.)</w:t>
      </w:r>
      <w:r w:rsidR="00803BE6">
        <w:t>.</w:t>
      </w:r>
    </w:p>
    <w:p w:rsidR="003E50FF" w:rsidRDefault="003E50FF">
      <w:r>
        <w:t xml:space="preserve">Ces difficultés pourraient être réduites en </w:t>
      </w:r>
      <w:r w:rsidR="00735678">
        <w:t>combinant</w:t>
      </w:r>
      <w:r>
        <w:t xml:space="preserve"> l’évaluation formative </w:t>
      </w:r>
      <w:r w:rsidR="00735678">
        <w:t>et</w:t>
      </w:r>
      <w:r>
        <w:t xml:space="preserve"> les enseignements scientifiques. C’est l’hypothèse du projet européen ASSIST-ME dans lequel le </w:t>
      </w:r>
      <w:proofErr w:type="spellStart"/>
      <w:r>
        <w:t>LéA</w:t>
      </w:r>
      <w:proofErr w:type="spellEnd"/>
      <w:r>
        <w:t xml:space="preserve"> </w:t>
      </w:r>
      <w:proofErr w:type="spellStart"/>
      <w:r>
        <w:t>EvaCoDICE</w:t>
      </w:r>
      <w:proofErr w:type="spellEnd"/>
      <w:r>
        <w:t xml:space="preserve"> est </w:t>
      </w:r>
      <w:r w:rsidR="00735678">
        <w:t>intégré</w:t>
      </w:r>
      <w:r>
        <w:t xml:space="preserve">. </w:t>
      </w:r>
      <w:r w:rsidR="00E1395E">
        <w:t>C</w:t>
      </w:r>
      <w:r>
        <w:t xml:space="preserve">es approches évaluatives sont également complexes puisqu’elles combinent </w:t>
      </w:r>
      <w:r w:rsidR="0078137C">
        <w:t xml:space="preserve">trois processus : situer les élèves dans le cours des apprentissages ; anticiper les étapes futures de ce cours d’apprentissage ; adapter les activités de manière à permettre à tous les élèves d’atteindre les compétences visées. </w:t>
      </w:r>
    </w:p>
    <w:p w:rsidR="0078137C" w:rsidRDefault="0078137C">
      <w:r>
        <w:t>La question est alors de savoir comment les enseignants peuvent parvenir à prendre en charge de telles démarches ? Nous pensons que cela ne peut se faire sans la création d’un collectif d’enseignant</w:t>
      </w:r>
      <w:r w:rsidR="00E1395E">
        <w:t>s</w:t>
      </w:r>
      <w:r>
        <w:t>, de formateur</w:t>
      </w:r>
      <w:r w:rsidR="00E1395E">
        <w:t>s</w:t>
      </w:r>
      <w:r>
        <w:t xml:space="preserve"> et de chercheurs qui ensemble </w:t>
      </w:r>
      <w:r w:rsidR="00E1395E">
        <w:t>conçoivent</w:t>
      </w:r>
      <w:r>
        <w:t xml:space="preserve"> et teste</w:t>
      </w:r>
      <w:r w:rsidR="00E1395E">
        <w:t>nt</w:t>
      </w:r>
      <w:r>
        <w:t xml:space="preserve"> des approches pédagogiques et didactiques adéquates. Dans ce texte no</w:t>
      </w:r>
      <w:r w:rsidR="00E1395E">
        <w:t>u</w:t>
      </w:r>
      <w:r>
        <w:t>s cherchons à identifier les effets de ce collectif sur les approches et pratiques des enseignants.</w:t>
      </w:r>
    </w:p>
    <w:p w:rsidR="0078137C" w:rsidRDefault="005339E3">
      <w:r>
        <w:t>N</w:t>
      </w:r>
      <w:r w:rsidR="0078137C">
        <w:t xml:space="preserve">ous analysons les idées des enseignants quant aux effets du </w:t>
      </w:r>
      <w:proofErr w:type="spellStart"/>
      <w:r w:rsidR="0078137C">
        <w:t>LéA</w:t>
      </w:r>
      <w:proofErr w:type="spellEnd"/>
      <w:r w:rsidR="0078137C">
        <w:t xml:space="preserve"> sur leurs conceptions et leurs pratiques. Le recueil de données s’est fait par entretiens collectifs structurés à la fin de la première année. Trois réunions en petits groupes ont été conduites, une pour chaque établissement et une pour les écoles. </w:t>
      </w:r>
    </w:p>
    <w:p w:rsidR="005339E3" w:rsidRDefault="00F46DC4" w:rsidP="005339E3">
      <w:r>
        <w:t xml:space="preserve">Le cadre théorique est celui de la théorie de l’activité telle qu’elle est présentée par </w:t>
      </w:r>
      <w:r w:rsidR="00803BE6" w:rsidRPr="00803BE6">
        <w:rPr>
          <w:rFonts w:cs="Arial"/>
          <w:szCs w:val="24"/>
        </w:rPr>
        <w:t>(</w:t>
      </w:r>
      <w:proofErr w:type="spellStart"/>
      <w:r w:rsidR="00803BE6" w:rsidRPr="00803BE6">
        <w:rPr>
          <w:rFonts w:cs="Arial"/>
          <w:szCs w:val="24"/>
        </w:rPr>
        <w:t>Engeström</w:t>
      </w:r>
      <w:proofErr w:type="spellEnd"/>
      <w:r w:rsidR="00803BE6" w:rsidRPr="00803BE6">
        <w:rPr>
          <w:rFonts w:cs="Arial"/>
          <w:szCs w:val="24"/>
        </w:rPr>
        <w:t>, 2001)</w:t>
      </w:r>
      <w:r w:rsidR="00803BE6">
        <w:t xml:space="preserve"> </w:t>
      </w:r>
      <w:r>
        <w:t xml:space="preserve">ou reprise par </w:t>
      </w:r>
      <w:proofErr w:type="spellStart"/>
      <w:r>
        <w:t>Gueudet</w:t>
      </w:r>
      <w:proofErr w:type="spellEnd"/>
      <w:r>
        <w:t xml:space="preserve"> et </w:t>
      </w:r>
      <w:proofErr w:type="spellStart"/>
      <w:r>
        <w:t>Lebaud</w:t>
      </w:r>
      <w:proofErr w:type="spellEnd"/>
      <w:r w:rsidR="00803BE6">
        <w:t xml:space="preserve"> </w:t>
      </w:r>
      <w:r w:rsidR="00803BE6" w:rsidRPr="00803BE6">
        <w:rPr>
          <w:rFonts w:cs="Arial"/>
        </w:rPr>
        <w:t>(2013)</w:t>
      </w:r>
      <w:r>
        <w:t>.</w:t>
      </w:r>
      <w:r w:rsidR="005339E3">
        <w:t xml:space="preserve"> Trois domaines du système d’activité des enseignants sont modifiés. </w:t>
      </w:r>
    </w:p>
    <w:p w:rsidR="005339E3" w:rsidRDefault="005339E3">
      <w:r>
        <w:t>Les buts de l’activité : évaluer pour soutenir les élèves dans leurs apprentissages est devenu plus important que le but de leur attribuer des notes ; l’évaluation est mieux mise en perspective avec ce qui a été appris durant la séquence</w:t>
      </w:r>
      <w:r w:rsidR="00146ACF">
        <w:t> ; donner plus de cohérence dans les manières de présenter les démarches scientifiques entre disciplines est devenu crucial.</w:t>
      </w:r>
    </w:p>
    <w:p w:rsidR="00146ACF" w:rsidRDefault="00146ACF">
      <w:r>
        <w:lastRenderedPageBreak/>
        <w:t xml:space="preserve">Les outils et ressources : discuter des préparations et les concevoir en commun, les tester d’une classe à l’autre est devenu familier ; la conception des journées de formation autour d’une question à résoudre ensemble a changé la représentation de la démarche scientifique. </w:t>
      </w:r>
    </w:p>
    <w:p w:rsidR="00146ACF" w:rsidRDefault="00146ACF">
      <w:r>
        <w:t>Répertoire d’actions : la préparatio</w:t>
      </w:r>
      <w:r w:rsidR="00E1395E">
        <w:t>n des séquences est approfondie</w:t>
      </w:r>
      <w:r>
        <w:t xml:space="preserve"> grâ</w:t>
      </w:r>
      <w:r w:rsidR="00E1395E">
        <w:t>ce à une meilleure connaissance</w:t>
      </w:r>
      <w:r>
        <w:t xml:space="preserve"> des difficultés des élèves identifiées par les didactiques ; l’attention à l’implication de chaque élève fait que le nombre de démotivé</w:t>
      </w:r>
      <w:r w:rsidR="00E1395E">
        <w:t>s</w:t>
      </w:r>
      <w:r>
        <w:t xml:space="preserve"> a décru voire disparu.</w:t>
      </w:r>
    </w:p>
    <w:p w:rsidR="00A465D8" w:rsidRDefault="00146ACF" w:rsidP="00735678">
      <w:r>
        <w:t xml:space="preserve">Le recueil de données de la deuxième année se fera </w:t>
      </w:r>
      <w:r w:rsidR="00E1395E">
        <w:t>en juin</w:t>
      </w:r>
      <w:r>
        <w:t xml:space="preserve"> 2014. </w:t>
      </w:r>
    </w:p>
    <w:p w:rsidR="00735678" w:rsidRDefault="00735678" w:rsidP="00735678"/>
    <w:p w:rsidR="00A465D8" w:rsidRDefault="00A465D8" w:rsidP="00E1395E">
      <w:r w:rsidRPr="00AC43CC">
        <w:rPr>
          <w:u w:val="single"/>
        </w:rPr>
        <w:t>Bibliographie</w:t>
      </w:r>
      <w:r w:rsidR="00E1395E">
        <w:rPr>
          <w:u w:val="single"/>
        </w:rPr>
        <w:t> </w:t>
      </w:r>
      <w:r w:rsidR="00E1395E">
        <w:t>:</w:t>
      </w:r>
    </w:p>
    <w:p w:rsidR="00E1395E" w:rsidRPr="007D5C9A" w:rsidRDefault="00E1395E" w:rsidP="00E1395E"/>
    <w:p w:rsidR="00803BE6" w:rsidRPr="00803BE6" w:rsidRDefault="00803BE6" w:rsidP="00202662">
      <w:pPr>
        <w:pStyle w:val="Bibliographie"/>
        <w:spacing w:line="240" w:lineRule="auto"/>
      </w:pPr>
      <w:r w:rsidRPr="007D5C9A">
        <w:t xml:space="preserve">Cross, D., &amp; Grangeat, M. (s. d.). </w:t>
      </w:r>
      <w:r w:rsidRPr="00803BE6">
        <w:t xml:space="preserve">Démarches d’investigation: analyse des relations entre contrat et milieu didactiques. </w:t>
      </w:r>
      <w:r w:rsidRPr="00803BE6">
        <w:rPr>
          <w:i/>
          <w:iCs/>
        </w:rPr>
        <w:t>Recherches en Didactique des Sciences et Technologies</w:t>
      </w:r>
      <w:r w:rsidRPr="00803BE6">
        <w:t>, à paraître.</w:t>
      </w:r>
    </w:p>
    <w:p w:rsidR="00803BE6" w:rsidRPr="00803BE6" w:rsidRDefault="00803BE6" w:rsidP="00202662">
      <w:pPr>
        <w:pStyle w:val="Bibliographie"/>
        <w:spacing w:line="240" w:lineRule="auto"/>
      </w:pPr>
      <w:proofErr w:type="spellStart"/>
      <w:r w:rsidRPr="00803BE6">
        <w:t>Engeström</w:t>
      </w:r>
      <w:proofErr w:type="spellEnd"/>
      <w:r w:rsidRPr="00803BE6">
        <w:t xml:space="preserve">, Y. (2001). </w:t>
      </w:r>
      <w:r w:rsidRPr="00803BE6">
        <w:rPr>
          <w:lang w:val="en-US"/>
        </w:rPr>
        <w:t xml:space="preserve">Expansive learning at work: toward an activity theoretical reconceptualization. </w:t>
      </w:r>
      <w:r w:rsidRPr="00803BE6">
        <w:rPr>
          <w:i/>
          <w:iCs/>
        </w:rPr>
        <w:t xml:space="preserve">Journal of Education and </w:t>
      </w:r>
      <w:proofErr w:type="spellStart"/>
      <w:r w:rsidRPr="00803BE6">
        <w:rPr>
          <w:i/>
          <w:iCs/>
        </w:rPr>
        <w:t>Work</w:t>
      </w:r>
      <w:proofErr w:type="spellEnd"/>
      <w:r w:rsidRPr="00803BE6">
        <w:t xml:space="preserve">, </w:t>
      </w:r>
      <w:r w:rsidRPr="00803BE6">
        <w:rPr>
          <w:i/>
          <w:iCs/>
        </w:rPr>
        <w:t>14</w:t>
      </w:r>
      <w:r w:rsidRPr="00803BE6">
        <w:t>(1), 133</w:t>
      </w:r>
      <w:r w:rsidRPr="00803BE6">
        <w:rPr>
          <w:rFonts w:ascii="MS Mincho" w:eastAsia="MS Mincho" w:hAnsi="MS Mincho" w:cs="MS Mincho" w:hint="eastAsia"/>
        </w:rPr>
        <w:t>‑</w:t>
      </w:r>
      <w:r w:rsidRPr="00803BE6">
        <w:t>156.</w:t>
      </w:r>
    </w:p>
    <w:p w:rsidR="00803BE6" w:rsidRPr="00803BE6" w:rsidRDefault="00803BE6" w:rsidP="00202662">
      <w:pPr>
        <w:pStyle w:val="Bibliographie"/>
        <w:spacing w:line="240" w:lineRule="auto"/>
      </w:pPr>
      <w:r w:rsidRPr="00803BE6">
        <w:t xml:space="preserve">Grangeat, M. (2013). Modéliser les enseignements scientifiques fondés sur les démarches d’investigation : développement des compétences professionnelles, apport du travail collectif. In M. Grangeat (Éd.), </w:t>
      </w:r>
      <w:r w:rsidRPr="00803BE6">
        <w:rPr>
          <w:i/>
          <w:iCs/>
        </w:rPr>
        <w:t>Les enseignants de sciences face aux démarches d’investigation</w:t>
      </w:r>
      <w:r w:rsidRPr="00803BE6">
        <w:t xml:space="preserve"> (p. 155</w:t>
      </w:r>
      <w:r w:rsidRPr="00803BE6">
        <w:rPr>
          <w:rFonts w:ascii="MS Mincho" w:eastAsia="MS Mincho" w:hAnsi="MS Mincho" w:cs="MS Mincho" w:hint="eastAsia"/>
        </w:rPr>
        <w:t>‑</w:t>
      </w:r>
      <w:r w:rsidRPr="00803BE6">
        <w:t>184). Grenoble: Presses Universitaires de Grenoble.</w:t>
      </w:r>
    </w:p>
    <w:p w:rsidR="00803BE6" w:rsidRPr="00803BE6" w:rsidRDefault="00803BE6" w:rsidP="00202662">
      <w:pPr>
        <w:pStyle w:val="Bibliographie"/>
        <w:spacing w:line="240" w:lineRule="auto"/>
      </w:pPr>
      <w:proofErr w:type="spellStart"/>
      <w:r w:rsidRPr="00803BE6">
        <w:t>Gueudet</w:t>
      </w:r>
      <w:proofErr w:type="spellEnd"/>
      <w:r w:rsidRPr="00803BE6">
        <w:t xml:space="preserve">, G., &amp; </w:t>
      </w:r>
      <w:proofErr w:type="spellStart"/>
      <w:r w:rsidRPr="00803BE6">
        <w:t>Lebaud</w:t>
      </w:r>
      <w:proofErr w:type="spellEnd"/>
      <w:r w:rsidRPr="00803BE6">
        <w:t xml:space="preserve">, M.-P. (2013). Démarches d’investigation en sciences, collectifs dans la formation des enseignants : Enquête sur un lien complexe. In M. Grangeat (Éd.), </w:t>
      </w:r>
      <w:r w:rsidRPr="00803BE6">
        <w:rPr>
          <w:i/>
          <w:iCs/>
        </w:rPr>
        <w:t>Les enseignants de sciences face aux démarches d’investigation</w:t>
      </w:r>
      <w:r w:rsidRPr="00803BE6">
        <w:t xml:space="preserve"> (p. 95</w:t>
      </w:r>
      <w:r w:rsidRPr="00803BE6">
        <w:rPr>
          <w:rFonts w:ascii="MS Mincho" w:eastAsia="MS Mincho" w:hAnsi="MS Mincho" w:cs="MS Mincho" w:hint="eastAsia"/>
        </w:rPr>
        <w:t>‑</w:t>
      </w:r>
      <w:r w:rsidRPr="00803BE6">
        <w:t>113). Grenoble: Presses Universitaires de Grenoble.</w:t>
      </w:r>
    </w:p>
    <w:p w:rsidR="00803BE6" w:rsidRPr="00803BE6" w:rsidRDefault="00803BE6" w:rsidP="00202662">
      <w:pPr>
        <w:pStyle w:val="Bibliographie"/>
        <w:spacing w:line="240" w:lineRule="auto"/>
      </w:pPr>
      <w:r w:rsidRPr="00803BE6">
        <w:t xml:space="preserve">Triquet, E., &amp; Guillaud, J.-C. (2011). Démarches scientifiques et démarches d’investigation: points de vue d’enseignants stagiaires de l’IUFM. In M. Grangeat (Éd.), </w:t>
      </w:r>
      <w:r w:rsidRPr="00803BE6">
        <w:rPr>
          <w:i/>
          <w:iCs/>
        </w:rPr>
        <w:t>Les démarches d’investigation dans l’enseignement scientifique Pratiques de classe, travail collectif enseignant, acquisitions des élèves</w:t>
      </w:r>
      <w:r w:rsidRPr="00803BE6">
        <w:t xml:space="preserve"> (p. 63</w:t>
      </w:r>
      <w:r w:rsidRPr="00803BE6">
        <w:rPr>
          <w:rFonts w:ascii="MS Mincho" w:eastAsia="MS Mincho" w:hAnsi="MS Mincho" w:cs="MS Mincho" w:hint="eastAsia"/>
        </w:rPr>
        <w:t>‑</w:t>
      </w:r>
      <w:r w:rsidRPr="00803BE6">
        <w:t>76). Lyon: Ecole Normale Supérieure.</w:t>
      </w:r>
    </w:p>
    <w:p w:rsidR="00B76F2D" w:rsidRPr="00824BD2" w:rsidRDefault="00B76F2D" w:rsidP="00E1395E">
      <w:pPr>
        <w:rPr>
          <w:lang w:val="en-US"/>
        </w:rPr>
      </w:pPr>
    </w:p>
    <w:p w:rsidR="00A465D8" w:rsidRPr="00A465D8" w:rsidRDefault="00A465D8" w:rsidP="00AC43CC">
      <w:pPr>
        <w:rPr>
          <w:lang w:val="en-US"/>
        </w:rPr>
      </w:pPr>
    </w:p>
    <w:p w:rsidR="00A465D8" w:rsidRPr="00A465D8" w:rsidRDefault="00A465D8">
      <w:pPr>
        <w:rPr>
          <w:lang w:val="en-US"/>
        </w:rPr>
      </w:pPr>
    </w:p>
    <w:sectPr w:rsidR="00A465D8" w:rsidRPr="00A46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D8"/>
    <w:rsid w:val="00146ACF"/>
    <w:rsid w:val="001C1618"/>
    <w:rsid w:val="00202662"/>
    <w:rsid w:val="00277DCE"/>
    <w:rsid w:val="002A4A77"/>
    <w:rsid w:val="003E50FF"/>
    <w:rsid w:val="005339E3"/>
    <w:rsid w:val="005367B2"/>
    <w:rsid w:val="0057341F"/>
    <w:rsid w:val="007130E1"/>
    <w:rsid w:val="00735678"/>
    <w:rsid w:val="0078137C"/>
    <w:rsid w:val="007D5C9A"/>
    <w:rsid w:val="007F5FDE"/>
    <w:rsid w:val="00803BE6"/>
    <w:rsid w:val="009D466C"/>
    <w:rsid w:val="00A465D8"/>
    <w:rsid w:val="00A81C1E"/>
    <w:rsid w:val="00AC43CC"/>
    <w:rsid w:val="00B76F2D"/>
    <w:rsid w:val="00D65E9D"/>
    <w:rsid w:val="00E1395E"/>
    <w:rsid w:val="00F4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2B0CC-E83A-4EAE-AC40-820D69AC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C1E"/>
    <w:pPr>
      <w:spacing w:after="60" w:line="240" w:lineRule="auto"/>
      <w:ind w:firstLine="284"/>
      <w:jc w:val="both"/>
    </w:pPr>
    <w:rPr>
      <w:rFonts w:ascii="Arial" w:eastAsiaTheme="minorEastAsia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biblio">
    <w:name w:val="adbiblio"/>
    <w:rsid w:val="00A465D8"/>
    <w:pPr>
      <w:spacing w:after="0" w:line="240" w:lineRule="auto"/>
      <w:ind w:left="567" w:hanging="567"/>
    </w:pPr>
    <w:rPr>
      <w:rFonts w:ascii="Times New Roman" w:eastAsia="Times New Roman" w:hAnsi="Times New Roman" w:cs="Times-Roman"/>
      <w:sz w:val="24"/>
      <w:szCs w:val="24"/>
      <w:lang w:eastAsia="fr-FR" w:bidi="fr-FR"/>
    </w:rPr>
  </w:style>
  <w:style w:type="paragraph" w:styleId="Bibliographie">
    <w:name w:val="Bibliography"/>
    <w:basedOn w:val="Normal"/>
    <w:next w:val="Normal"/>
    <w:uiPriority w:val="37"/>
    <w:unhideWhenUsed/>
    <w:rsid w:val="00B76F2D"/>
    <w:pPr>
      <w:spacing w:after="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792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Favelier</dc:creator>
  <cp:lastModifiedBy>Michel Grangeat</cp:lastModifiedBy>
  <cp:revision>10</cp:revision>
  <dcterms:created xsi:type="dcterms:W3CDTF">2014-04-09T08:30:00Z</dcterms:created>
  <dcterms:modified xsi:type="dcterms:W3CDTF">2014-04-09T12:11:00Z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zotero-version="4.0.17.1"&gt;&lt;session id="kh2H2rG5"/&gt;&lt;style id="http://www.zotero.org/styles/apa" hasBibliography="1" bibliographyStyleHasBeenSet="1"/&gt;&lt;prefs&gt;&lt;pref name="fieldType" value="Field"/&gt;&lt;pref name="storeReferences" value="tru</vt:lpwstr>
  </property>
  <property fmtid="{D5CDD505-2E9C-101B-9397-08002B2CF9AE}" pid="3" name="ZOTERO_PREF_2">
    <vt:lpwstr>e"/&gt;&lt;pref name="automaticJournalAbbreviations" value="true"/&gt;&lt;pref name="noteType" value="0"/&gt;&lt;/prefs&gt;&lt;/data&gt;</vt:lpwstr>
  </property>
</Properties>
</file>