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2FB0FE" w14:textId="77777777" w:rsidR="00D65E9D" w:rsidRPr="00AC43CC" w:rsidRDefault="00A465D8">
      <w:pPr>
        <w:rPr>
          <w:u w:val="single"/>
        </w:rPr>
      </w:pPr>
      <w:r w:rsidRPr="00AC43CC">
        <w:rPr>
          <w:u w:val="single"/>
        </w:rPr>
        <w:t>Le nom de votre LéA :</w:t>
      </w:r>
      <w:r w:rsidR="001B28D7">
        <w:rPr>
          <w:u w:val="single"/>
        </w:rPr>
        <w:t xml:space="preserve"> Moulin - Sanquer</w:t>
      </w:r>
    </w:p>
    <w:p w14:paraId="17A5C596" w14:textId="77777777" w:rsidR="00A465D8" w:rsidRDefault="00A465D8"/>
    <w:p w14:paraId="4D99BFA4" w14:textId="77777777" w:rsidR="00A465D8" w:rsidRPr="00AC43CC" w:rsidRDefault="00A465D8">
      <w:pPr>
        <w:rPr>
          <w:u w:val="single"/>
        </w:rPr>
      </w:pPr>
      <w:r w:rsidRPr="00AC43CC">
        <w:rPr>
          <w:u w:val="single"/>
        </w:rPr>
        <w:t xml:space="preserve">Le titre de votre proposition : </w:t>
      </w:r>
    </w:p>
    <w:p w14:paraId="1E59E09B" w14:textId="5E67CD9D" w:rsidR="00A465D8" w:rsidRDefault="00B92D98" w:rsidP="001A662F">
      <w:pPr>
        <w:ind w:left="284"/>
      </w:pPr>
      <w:r>
        <w:t>Impact des répétitions</w:t>
      </w:r>
      <w:r w:rsidR="00F30BC5">
        <w:t xml:space="preserve"> profess</w:t>
      </w:r>
      <w:r>
        <w:t>orales</w:t>
      </w:r>
      <w:r w:rsidR="00F30BC5">
        <w:t xml:space="preserve"> sur les apprent</w:t>
      </w:r>
      <w:r>
        <w:t>issages des élèves en L2 lors d’une séance</w:t>
      </w:r>
      <w:r w:rsidR="00F30BC5">
        <w:t xml:space="preserve"> en visioconférence à l’école</w:t>
      </w:r>
    </w:p>
    <w:p w14:paraId="4F47FB11" w14:textId="77777777" w:rsidR="00B92D98" w:rsidRDefault="00B92D98" w:rsidP="001A662F">
      <w:pPr>
        <w:ind w:left="284"/>
      </w:pPr>
    </w:p>
    <w:p w14:paraId="790A4E9B" w14:textId="77777777" w:rsidR="00A465D8" w:rsidRPr="00AC43CC" w:rsidRDefault="00A465D8">
      <w:pPr>
        <w:rPr>
          <w:u w:val="single"/>
        </w:rPr>
      </w:pPr>
      <w:r w:rsidRPr="00AC43CC">
        <w:rPr>
          <w:u w:val="single"/>
        </w:rPr>
        <w:t>Le format de votre proposition </w:t>
      </w:r>
      <w:r w:rsidRPr="00AC43CC">
        <w:t>: communication orale</w:t>
      </w:r>
    </w:p>
    <w:p w14:paraId="1B768845" w14:textId="77777777" w:rsidR="00A465D8" w:rsidRDefault="00A465D8"/>
    <w:p w14:paraId="2D569190" w14:textId="7DFAC103" w:rsidR="00A465D8" w:rsidRPr="001A662F" w:rsidRDefault="00A465D8">
      <w:r w:rsidRPr="00AC43CC">
        <w:rPr>
          <w:u w:val="single"/>
        </w:rPr>
        <w:t>Mots clés :</w:t>
      </w:r>
      <w:r w:rsidR="001A662F">
        <w:t xml:space="preserve"> visioconférence, contrat didactique, milieu, étude de cas</w:t>
      </w:r>
      <w:r w:rsidR="00B92D98">
        <w:t>, L2, primaire</w:t>
      </w:r>
    </w:p>
    <w:p w14:paraId="6D1B1AA0" w14:textId="77777777" w:rsidR="00A465D8" w:rsidRDefault="00A465D8"/>
    <w:p w14:paraId="43D959BF" w14:textId="77777777" w:rsidR="00A465D8" w:rsidRPr="00AC43CC" w:rsidRDefault="00A465D8" w:rsidP="00A465D8">
      <w:pPr>
        <w:rPr>
          <w:u w:val="single"/>
        </w:rPr>
      </w:pPr>
      <w:r w:rsidRPr="00AC43CC">
        <w:rPr>
          <w:u w:val="single"/>
        </w:rPr>
        <w:t>Thématiques IFÉ</w:t>
      </w:r>
      <w:r w:rsidR="00F6144C">
        <w:rPr>
          <w:u w:val="single"/>
        </w:rPr>
        <w:t xml:space="preserve"> : </w:t>
      </w:r>
    </w:p>
    <w:p w14:paraId="0454C457" w14:textId="77777777" w:rsidR="00A465D8" w:rsidRDefault="00A465D8" w:rsidP="00A465D8">
      <w:r>
        <w:t>Apprentissages et socialisations</w:t>
      </w:r>
    </w:p>
    <w:p w14:paraId="42FCE9D0" w14:textId="77777777" w:rsidR="00A465D8" w:rsidRDefault="00A465D8" w:rsidP="00A465D8">
      <w:r>
        <w:t>Le numérique en éducation et en formation</w:t>
      </w:r>
    </w:p>
    <w:p w14:paraId="7BA2B0D8" w14:textId="77777777" w:rsidR="00A465D8" w:rsidRDefault="00A465D8"/>
    <w:p w14:paraId="2B6737F8" w14:textId="77777777" w:rsidR="00A465D8" w:rsidRDefault="00AC43CC">
      <w:pPr>
        <w:rPr>
          <w:u w:val="single"/>
        </w:rPr>
      </w:pPr>
      <w:r>
        <w:rPr>
          <w:u w:val="single"/>
        </w:rPr>
        <w:t xml:space="preserve">Texte : </w:t>
      </w:r>
      <w:r w:rsidR="00A465D8" w:rsidRPr="00AC43CC">
        <w:t>(3000 signes, espaces compris) :</w:t>
      </w:r>
      <w:r w:rsidR="00A465D8" w:rsidRPr="00AC43CC">
        <w:rPr>
          <w:u w:val="single"/>
        </w:rPr>
        <w:t xml:space="preserve"> </w:t>
      </w:r>
    </w:p>
    <w:p w14:paraId="3646BCCF" w14:textId="5558801B" w:rsidR="001A662F" w:rsidRDefault="001A662F" w:rsidP="00B92D98">
      <w:pPr>
        <w:spacing w:after="0"/>
        <w:ind w:left="284"/>
        <w:rPr>
          <w:rStyle w:val="hps"/>
          <w:rFonts w:cs="Times New Roman"/>
        </w:rPr>
      </w:pPr>
      <w:r>
        <w:rPr>
          <w:rFonts w:cs="Times New Roman"/>
        </w:rPr>
        <w:t xml:space="preserve">Cette communication </w:t>
      </w:r>
      <w:r w:rsidR="00F30BC5" w:rsidRPr="00F30BC5">
        <w:rPr>
          <w:rFonts w:cs="Times New Roman"/>
        </w:rPr>
        <w:t xml:space="preserve">s’intéresse </w:t>
      </w:r>
      <w:r>
        <w:rPr>
          <w:rFonts w:cs="Times New Roman"/>
        </w:rPr>
        <w:t>aux</w:t>
      </w:r>
      <w:r w:rsidR="00B92D98">
        <w:rPr>
          <w:rFonts w:cs="Times New Roman"/>
        </w:rPr>
        <w:t xml:space="preserve"> relations </w:t>
      </w:r>
      <w:r w:rsidR="00F30BC5" w:rsidRPr="00F30BC5">
        <w:rPr>
          <w:rFonts w:cs="Times New Roman"/>
        </w:rPr>
        <w:t>contrat et milieu sur lesquelles repose toute situation didactique (Brousseau, 199</w:t>
      </w:r>
      <w:r w:rsidR="00610617">
        <w:rPr>
          <w:rFonts w:cs="Times New Roman"/>
        </w:rPr>
        <w:t>8</w:t>
      </w:r>
      <w:r w:rsidR="00F30BC5" w:rsidRPr="00F30BC5">
        <w:rPr>
          <w:rFonts w:cs="Times New Roman"/>
        </w:rPr>
        <w:t xml:space="preserve">), et s’efforce d’approfondir </w:t>
      </w:r>
      <w:r w:rsidR="00B92D98">
        <w:rPr>
          <w:rFonts w:cs="Times New Roman"/>
        </w:rPr>
        <w:t>ces</w:t>
      </w:r>
      <w:r w:rsidR="007B7484">
        <w:rPr>
          <w:rFonts w:cs="Times New Roman"/>
        </w:rPr>
        <w:t xml:space="preserve"> relation</w:t>
      </w:r>
      <w:r w:rsidR="00B92D98">
        <w:rPr>
          <w:rFonts w:cs="Times New Roman"/>
        </w:rPr>
        <w:t>s</w:t>
      </w:r>
      <w:r w:rsidR="00F30BC5" w:rsidRPr="00F30BC5">
        <w:rPr>
          <w:rFonts w:cs="Times New Roman"/>
        </w:rPr>
        <w:t xml:space="preserve"> à travers la notion « d’équilibre contrat-milieu »</w:t>
      </w:r>
      <w:r>
        <w:rPr>
          <w:rStyle w:val="hps"/>
          <w:rFonts w:cs="Times New Roman"/>
        </w:rPr>
        <w:t xml:space="preserve"> (Sensevy, 2011</w:t>
      </w:r>
      <w:r w:rsidR="00F30BC5" w:rsidRPr="00F30BC5">
        <w:rPr>
          <w:rStyle w:val="hps"/>
          <w:rFonts w:cs="Times New Roman"/>
          <w:i/>
          <w:iCs/>
        </w:rPr>
        <w:t>,</w:t>
      </w:r>
      <w:r w:rsidR="00F30BC5" w:rsidRPr="00F30BC5">
        <w:rPr>
          <w:rStyle w:val="hps"/>
          <w:rFonts w:cs="Times New Roman"/>
        </w:rPr>
        <w:t xml:space="preserve"> p. 193)</w:t>
      </w:r>
      <w:r w:rsidR="00F30BC5" w:rsidRPr="00F30BC5">
        <w:rPr>
          <w:rFonts w:cs="Times New Roman"/>
        </w:rPr>
        <w:t xml:space="preserve">. En développant cette notion, notre étude vise à </w:t>
      </w:r>
      <w:r>
        <w:rPr>
          <w:rFonts w:cs="Times New Roman"/>
        </w:rPr>
        <w:t xml:space="preserve">montrer </w:t>
      </w:r>
      <w:r>
        <w:rPr>
          <w:rStyle w:val="hps"/>
          <w:rFonts w:cs="Times New Roman"/>
        </w:rPr>
        <w:t xml:space="preserve">que les </w:t>
      </w:r>
      <w:r w:rsidR="00F30BC5" w:rsidRPr="00F30BC5">
        <w:rPr>
          <w:rStyle w:val="hps"/>
          <w:rFonts w:cs="Times New Roman"/>
        </w:rPr>
        <w:t>apprentissage</w:t>
      </w:r>
      <w:r>
        <w:rPr>
          <w:rStyle w:val="hps"/>
          <w:rFonts w:cs="Times New Roman"/>
        </w:rPr>
        <w:t>s en jeu sont</w:t>
      </w:r>
      <w:r w:rsidR="00F30BC5" w:rsidRPr="00F30BC5">
        <w:rPr>
          <w:rStyle w:val="hps"/>
          <w:rFonts w:cs="Times New Roman"/>
        </w:rPr>
        <w:t xml:space="preserve"> fonction du type de relation que l’action conjointe du professeur et des élèves établit entre le milieu et le contrat dans une situation donnée : il dépend du </w:t>
      </w:r>
      <w:r w:rsidR="007B7484" w:rsidRPr="00F30BC5">
        <w:rPr>
          <w:rStyle w:val="longtext"/>
          <w:rFonts w:cs="Times New Roman"/>
          <w:i/>
          <w:iCs/>
        </w:rPr>
        <w:t>jeu d’apprentissage</w:t>
      </w:r>
      <w:r w:rsidR="007B7484">
        <w:rPr>
          <w:rStyle w:val="longtext"/>
          <w:rFonts w:cs="Times New Roman"/>
          <w:i/>
          <w:iCs/>
        </w:rPr>
        <w:t xml:space="preserve"> </w:t>
      </w:r>
      <w:r w:rsidR="007B7484" w:rsidRPr="00F30BC5">
        <w:rPr>
          <w:rStyle w:val="longtext"/>
          <w:rFonts w:cs="Times New Roman"/>
        </w:rPr>
        <w:t>(</w:t>
      </w:r>
      <w:r w:rsidR="007B7484" w:rsidRPr="00F30BC5">
        <w:rPr>
          <w:rFonts w:cs="Times New Roman"/>
        </w:rPr>
        <w:t>Gruson, Forest &amp; Loquet, 2012)</w:t>
      </w:r>
      <w:r w:rsidR="007B7484" w:rsidRPr="00F30BC5">
        <w:rPr>
          <w:rStyle w:val="hps"/>
          <w:rFonts w:cs="Times New Roman"/>
        </w:rPr>
        <w:t xml:space="preserve"> </w:t>
      </w:r>
      <w:r w:rsidR="00F30BC5" w:rsidRPr="00F30BC5">
        <w:rPr>
          <w:rStyle w:val="hps"/>
          <w:rFonts w:cs="Times New Roman"/>
        </w:rPr>
        <w:t>auquel jouent ensemble le professeur et les élèves</w:t>
      </w:r>
      <w:r w:rsidR="00F30BC5" w:rsidRPr="00F30BC5">
        <w:rPr>
          <w:rStyle w:val="longtext"/>
          <w:rFonts w:cs="Times New Roman"/>
        </w:rPr>
        <w:t xml:space="preserve">. </w:t>
      </w:r>
    </w:p>
    <w:p w14:paraId="5618BA02" w14:textId="0F2FB775" w:rsidR="007B7484" w:rsidRDefault="001A662F" w:rsidP="00B92D98">
      <w:pPr>
        <w:tabs>
          <w:tab w:val="num" w:pos="720"/>
        </w:tabs>
        <w:spacing w:after="0"/>
        <w:ind w:left="284"/>
        <w:rPr>
          <w:rFonts w:cs="Times New Roman"/>
        </w:rPr>
      </w:pPr>
      <w:r>
        <w:rPr>
          <w:rStyle w:val="hps"/>
          <w:rFonts w:cs="Times New Roman"/>
        </w:rPr>
        <w:t xml:space="preserve">Afin d’illustrer le </w:t>
      </w:r>
      <w:r w:rsidR="00F30BC5" w:rsidRPr="00F30BC5">
        <w:rPr>
          <w:rStyle w:val="hps"/>
          <w:rFonts w:cs="Times New Roman"/>
        </w:rPr>
        <w:t xml:space="preserve">mécanisme d’équilibre contrat-milieu et évaluer son </w:t>
      </w:r>
      <w:r>
        <w:rPr>
          <w:rStyle w:val="hps"/>
          <w:rFonts w:cs="Times New Roman"/>
        </w:rPr>
        <w:t xml:space="preserve">impact potentiel sur les apprentissages des élèves, notre communication s’appuie sur </w:t>
      </w:r>
      <w:r>
        <w:t>une séance que nous nommons</w:t>
      </w:r>
      <w:r w:rsidRPr="001A662F">
        <w:t xml:space="preserve"> "Cluedo en visio" </w:t>
      </w:r>
      <w:r>
        <w:t xml:space="preserve">qui </w:t>
      </w:r>
      <w:r w:rsidRPr="001A662F">
        <w:t>offre</w:t>
      </w:r>
      <w:r>
        <w:t>, selon nous,</w:t>
      </w:r>
      <w:r w:rsidRPr="001A662F">
        <w:t xml:space="preserve"> des caractéristiques répétitibles (Agamben, 2008, p. 12) qui peuvent permettre, à partir de </w:t>
      </w:r>
      <w:r>
        <w:t>cette étude de cas, d'illustrer un certain</w:t>
      </w:r>
      <w:r w:rsidRPr="001A662F">
        <w:t xml:space="preserve"> nombre d'enjeux par rapport à l'utilisation de systèmes de visioconférence pour enseigner une L2.</w:t>
      </w:r>
      <w:r w:rsidR="007B7484">
        <w:t xml:space="preserve"> De plus, e</w:t>
      </w:r>
      <w:r w:rsidR="007B7484">
        <w:rPr>
          <w:rFonts w:cs="Times New Roman"/>
        </w:rPr>
        <w:t xml:space="preserve">n lien avec la théorie de l’action conjointe en didactique (Sensevy &amp; Mercier, 2007 ; </w:t>
      </w:r>
      <w:r w:rsidR="007B7484">
        <w:rPr>
          <w:rStyle w:val="hps"/>
          <w:rFonts w:cs="Times New Roman"/>
        </w:rPr>
        <w:t>Sensevy, 2011)</w:t>
      </w:r>
      <w:r w:rsidR="007B7484">
        <w:rPr>
          <w:rFonts w:cs="Times New Roman"/>
        </w:rPr>
        <w:t xml:space="preserve">, </w:t>
      </w:r>
      <w:r w:rsidR="007B7484" w:rsidRPr="007B7484">
        <w:rPr>
          <w:rFonts w:cs="Times New Roman"/>
        </w:rPr>
        <w:t>la séance "Cluedo en visio" contient des épisodes</w:t>
      </w:r>
      <w:r w:rsidR="00B92D98">
        <w:rPr>
          <w:rFonts w:cs="Times New Roman"/>
        </w:rPr>
        <w:t xml:space="preserve"> qui </w:t>
      </w:r>
      <w:r w:rsidR="007B7484">
        <w:rPr>
          <w:rFonts w:cs="Times New Roman"/>
        </w:rPr>
        <w:t>illustre</w:t>
      </w:r>
      <w:r w:rsidR="00B92D98">
        <w:rPr>
          <w:rFonts w:cs="Times New Roman"/>
        </w:rPr>
        <w:t>nt</w:t>
      </w:r>
      <w:r w:rsidR="007B7484">
        <w:rPr>
          <w:rFonts w:cs="Times New Roman"/>
        </w:rPr>
        <w:t xml:space="preserve"> la façon dont se jouent </w:t>
      </w:r>
      <w:r w:rsidR="007B7484" w:rsidRPr="007B7484">
        <w:rPr>
          <w:rFonts w:cs="Times New Roman"/>
        </w:rPr>
        <w:t>des types d'équilibration didactique contrastés du fait d'actions professorales relevant d'épistémologies pratiques différentes (marquées culturellement) et d'un milieu particulier qui présente une composante interactionnelle forte (échanges avec des "natifs")</w:t>
      </w:r>
      <w:r w:rsidR="007B7484">
        <w:rPr>
          <w:rFonts w:cs="Times New Roman"/>
        </w:rPr>
        <w:t>.</w:t>
      </w:r>
    </w:p>
    <w:p w14:paraId="51CF7E5B" w14:textId="1FD81FFF" w:rsidR="009A7F6F" w:rsidRDefault="00B92D98" w:rsidP="00B92D98">
      <w:pPr>
        <w:tabs>
          <w:tab w:val="num" w:pos="720"/>
        </w:tabs>
        <w:spacing w:after="0"/>
        <w:ind w:left="284"/>
        <w:rPr>
          <w:rFonts w:cs="Times New Roman"/>
        </w:rPr>
      </w:pPr>
      <w:r>
        <w:rPr>
          <w:rFonts w:cs="Times New Roman"/>
        </w:rPr>
        <w:t>L</w:t>
      </w:r>
      <w:r w:rsidR="009A7F6F" w:rsidRPr="009A7F6F">
        <w:rPr>
          <w:rFonts w:cs="Times New Roman"/>
        </w:rPr>
        <w:t xml:space="preserve">es extraits </w:t>
      </w:r>
      <w:r w:rsidR="009A7F6F">
        <w:rPr>
          <w:rFonts w:cs="Times New Roman"/>
        </w:rPr>
        <w:t xml:space="preserve">qui servent d’appui à cette communication </w:t>
      </w:r>
      <w:r w:rsidR="009A7F6F" w:rsidRPr="009A7F6F">
        <w:rPr>
          <w:rFonts w:cs="Times New Roman"/>
        </w:rPr>
        <w:t xml:space="preserve">sont </w:t>
      </w:r>
      <w:r>
        <w:rPr>
          <w:rFonts w:cs="Times New Roman"/>
        </w:rPr>
        <w:t xml:space="preserve">donc </w:t>
      </w:r>
      <w:r w:rsidR="009A7F6F" w:rsidRPr="009A7F6F">
        <w:rPr>
          <w:rFonts w:cs="Times New Roman"/>
        </w:rPr>
        <w:t xml:space="preserve">issus d’une séance lors de laquelle un système de visioconférence est utilisé pour mettre en interaction une classe bretonne et une classe du Devon (UK) afin de permettre aux élèves des deux classes d’améliorer leurs compétences de communication orale. </w:t>
      </w:r>
      <w:r>
        <w:rPr>
          <w:rFonts w:cs="Times New Roman"/>
        </w:rPr>
        <w:t>Comme le sous-entend le titre de la séance</w:t>
      </w:r>
      <w:r w:rsidRPr="009A7F6F">
        <w:rPr>
          <w:rFonts w:cs="Times New Roman"/>
        </w:rPr>
        <w:t xml:space="preserve">, </w:t>
      </w:r>
      <w:r>
        <w:rPr>
          <w:rFonts w:cs="Times New Roman"/>
        </w:rPr>
        <w:t>lors de cette dernière</w:t>
      </w:r>
      <w:r w:rsidR="009A7F6F" w:rsidRPr="009A7F6F">
        <w:rPr>
          <w:rFonts w:cs="Times New Roman"/>
        </w:rPr>
        <w:t xml:space="preserve">, les élèves jouent à un jeu traditionnel bien connu, le jeu du Cluedo, adapté aux objectifs langagiers, à la situation en classe entière et au dispositif de visioconférence. </w:t>
      </w:r>
    </w:p>
    <w:p w14:paraId="5A2AC83C" w14:textId="2B4E026C" w:rsidR="00B92D98" w:rsidRDefault="00B92D98" w:rsidP="00B92D98">
      <w:pPr>
        <w:tabs>
          <w:tab w:val="num" w:pos="720"/>
        </w:tabs>
        <w:ind w:left="284"/>
      </w:pPr>
      <w:r w:rsidRPr="00B92D98">
        <w:rPr>
          <w:rFonts w:cs="Times New Roman"/>
          <w:bCs/>
        </w:rPr>
        <w:t xml:space="preserve">Le cœur de la communication </w:t>
      </w:r>
      <w:r w:rsidR="007966FA">
        <w:rPr>
          <w:rFonts w:cs="Times New Roman"/>
          <w:bCs/>
        </w:rPr>
        <w:t>a</w:t>
      </w:r>
      <w:r w:rsidRPr="00B92D98">
        <w:rPr>
          <w:rFonts w:cs="Times New Roman"/>
          <w:bCs/>
        </w:rPr>
        <w:t xml:space="preserve"> pour objectif de montrer l'impact des répétitions professorales sur les apprentissages des élèves. Elle s’appuie sur</w:t>
      </w:r>
      <w:r>
        <w:rPr>
          <w:rFonts w:cs="Times New Roman"/>
          <w:b/>
          <w:bCs/>
        </w:rPr>
        <w:t xml:space="preserve"> </w:t>
      </w:r>
      <w:r w:rsidR="007966FA">
        <w:rPr>
          <w:rFonts w:cs="Times New Roman"/>
          <w:bCs/>
        </w:rPr>
        <w:t>d</w:t>
      </w:r>
      <w:r w:rsidRPr="00B92D98">
        <w:rPr>
          <w:rFonts w:cs="Times New Roman"/>
        </w:rPr>
        <w:t xml:space="preserve">eux extraits </w:t>
      </w:r>
      <w:r w:rsidR="007966FA">
        <w:rPr>
          <w:rFonts w:cs="Times New Roman"/>
        </w:rPr>
        <w:t>lors desquels</w:t>
      </w:r>
      <w:r w:rsidRPr="00B92D98">
        <w:rPr>
          <w:rFonts w:cs="Times New Roman"/>
        </w:rPr>
        <w:t xml:space="preserve"> PEF (le professeur français) et PGB (la professeure anglaise) ont recours à des formes de répétition très différentes qui influent sur la façon dont les élèves pratiquent la L2. Le premier extrait, focalisé sur la professeure</w:t>
      </w:r>
      <w:r>
        <w:rPr>
          <w:rFonts w:cs="Times New Roman"/>
        </w:rPr>
        <w:t xml:space="preserve"> anglaise, se déroule lors d’une première partie en français alors que l</w:t>
      </w:r>
      <w:r w:rsidRPr="00B92D98">
        <w:t>e second extrait, focalisé sur le professeur français, se déroule</w:t>
      </w:r>
      <w:r>
        <w:t>, lui, lors d’une</w:t>
      </w:r>
      <w:r w:rsidRPr="00B92D98">
        <w:t xml:space="preserve"> seconde partie en anglais.</w:t>
      </w:r>
      <w:r w:rsidR="00266E53">
        <w:t xml:space="preserve"> </w:t>
      </w:r>
    </w:p>
    <w:p w14:paraId="4CAE373A" w14:textId="145374B9" w:rsidR="00A465D8" w:rsidRDefault="00266E53" w:rsidP="00266E53">
      <w:pPr>
        <w:tabs>
          <w:tab w:val="num" w:pos="720"/>
        </w:tabs>
        <w:ind w:left="284"/>
      </w:pPr>
      <w:r>
        <w:t>C</w:t>
      </w:r>
      <w:r w:rsidRPr="00266E53">
        <w:t>es deux extraits permettent également d'illustrer différents phénomènes dont celui d'alternance codique</w:t>
      </w:r>
      <w:r>
        <w:t>. Ils montrent que la façon dont les professeurs</w:t>
      </w:r>
      <w:r w:rsidRPr="00266E53">
        <w:t xml:space="preserve"> emploient leur L1 et surtout les contenus langagiers qui composent leurs énoncés sont radicalement différents</w:t>
      </w:r>
      <w:r>
        <w:t>, ce qui permet de conforter l</w:t>
      </w:r>
      <w:r w:rsidRPr="00266E53">
        <w:t>'analyse centrée sur l</w:t>
      </w:r>
      <w:r>
        <w:t>’équilibre</w:t>
      </w:r>
      <w:r w:rsidRPr="00266E53">
        <w:t xml:space="preserve"> contrat-milieu</w:t>
      </w:r>
      <w:r>
        <w:t>.</w:t>
      </w:r>
      <w:r w:rsidRPr="00266E53">
        <w:t xml:space="preserve"> </w:t>
      </w:r>
    </w:p>
    <w:p w14:paraId="52899019" w14:textId="22E30F30" w:rsidR="00A465D8" w:rsidRPr="00AC43CC" w:rsidRDefault="00A465D8">
      <w:pPr>
        <w:rPr>
          <w:u w:val="single"/>
        </w:rPr>
      </w:pPr>
      <w:r w:rsidRPr="00610617">
        <w:rPr>
          <w:u w:val="single"/>
        </w:rPr>
        <w:lastRenderedPageBreak/>
        <w:t>Bibliographie</w:t>
      </w:r>
      <w:bookmarkStart w:id="0" w:name="_GoBack"/>
      <w:bookmarkEnd w:id="0"/>
    </w:p>
    <w:p w14:paraId="292ECFEA" w14:textId="5087E773" w:rsidR="00610617" w:rsidRDefault="00610617" w:rsidP="00B43C4E">
      <w:pPr>
        <w:rPr>
          <w:rFonts w:cs="Arial"/>
        </w:rPr>
      </w:pPr>
      <w:r>
        <w:t>Agamben Giorgio,</w:t>
      </w:r>
      <w:r w:rsidRPr="001A662F">
        <w:t xml:space="preserve"> 2008</w:t>
      </w:r>
      <w:r>
        <w:t>, Signatura Rerum. Sur la méthode, Paris, Vrin.</w:t>
      </w:r>
    </w:p>
    <w:p w14:paraId="47656B65" w14:textId="55197E80" w:rsidR="00B43C4E" w:rsidRPr="00B43C4E" w:rsidRDefault="00B43C4E" w:rsidP="00B43C4E">
      <w:pPr>
        <w:rPr>
          <w:rFonts w:cs="Arial"/>
        </w:rPr>
      </w:pPr>
      <w:r>
        <w:rPr>
          <w:rFonts w:cs="Arial"/>
        </w:rPr>
        <w:t>Brousseau</w:t>
      </w:r>
      <w:r w:rsidRPr="00B43C4E">
        <w:rPr>
          <w:rFonts w:cs="Arial"/>
        </w:rPr>
        <w:t xml:space="preserve"> G</w:t>
      </w:r>
      <w:r>
        <w:rPr>
          <w:rFonts w:cs="Arial"/>
        </w:rPr>
        <w:t xml:space="preserve">uy, </w:t>
      </w:r>
      <w:r w:rsidRPr="00B43C4E">
        <w:rPr>
          <w:rFonts w:cs="Arial"/>
        </w:rPr>
        <w:t>1998</w:t>
      </w:r>
      <w:r>
        <w:rPr>
          <w:rFonts w:cs="Arial"/>
        </w:rPr>
        <w:t>,</w:t>
      </w:r>
      <w:r w:rsidRPr="00B43C4E">
        <w:rPr>
          <w:rFonts w:cs="Arial"/>
        </w:rPr>
        <w:t xml:space="preserve"> </w:t>
      </w:r>
      <w:r w:rsidRPr="00116AA2">
        <w:rPr>
          <w:rFonts w:cs="Arial"/>
          <w:iCs/>
        </w:rPr>
        <w:t>Théorie des situations didactiques</w:t>
      </w:r>
      <w:r w:rsidR="00116AA2" w:rsidRPr="00116AA2">
        <w:rPr>
          <w:rFonts w:cs="Arial"/>
        </w:rPr>
        <w:t>,</w:t>
      </w:r>
      <w:r w:rsidR="00116AA2">
        <w:rPr>
          <w:rFonts w:cs="Arial"/>
        </w:rPr>
        <w:t xml:space="preserve"> Grenoble, </w:t>
      </w:r>
      <w:r w:rsidRPr="00B43C4E">
        <w:rPr>
          <w:rFonts w:cs="Arial"/>
        </w:rPr>
        <w:t>La Pensée sauvage.</w:t>
      </w:r>
    </w:p>
    <w:p w14:paraId="18D5DFBB" w14:textId="78931C20" w:rsidR="00B43C4E" w:rsidRDefault="00116AA2" w:rsidP="00B43C4E">
      <w:pPr>
        <w:rPr>
          <w:rFonts w:cs="Arial"/>
        </w:rPr>
      </w:pPr>
      <w:r>
        <w:rPr>
          <w:rFonts w:cs="Arial"/>
        </w:rPr>
        <w:t xml:space="preserve">Gruson </w:t>
      </w:r>
      <w:r w:rsidR="00B43C4E" w:rsidRPr="00B43C4E">
        <w:rPr>
          <w:rFonts w:cs="Arial"/>
        </w:rPr>
        <w:t>B</w:t>
      </w:r>
      <w:r>
        <w:rPr>
          <w:rFonts w:cs="Arial"/>
        </w:rPr>
        <w:t>rigitte, Forest</w:t>
      </w:r>
      <w:r w:rsidR="00B43C4E" w:rsidRPr="00B43C4E">
        <w:rPr>
          <w:rFonts w:cs="Arial"/>
        </w:rPr>
        <w:t xml:space="preserve"> D</w:t>
      </w:r>
      <w:r>
        <w:rPr>
          <w:rFonts w:cs="Arial"/>
        </w:rPr>
        <w:t>ominique</w:t>
      </w:r>
      <w:r w:rsidR="00B43C4E" w:rsidRPr="00B43C4E">
        <w:rPr>
          <w:rFonts w:cs="Arial"/>
        </w:rPr>
        <w:t xml:space="preserve"> &amp; Loquet M</w:t>
      </w:r>
      <w:r>
        <w:rPr>
          <w:rFonts w:cs="Arial"/>
        </w:rPr>
        <w:t>onique, 2012,</w:t>
      </w:r>
      <w:r w:rsidR="00B43C4E" w:rsidRPr="00B43C4E">
        <w:rPr>
          <w:rFonts w:cs="Arial"/>
        </w:rPr>
        <w:t xml:space="preserve"> </w:t>
      </w:r>
      <w:r w:rsidR="00B43C4E" w:rsidRPr="00116AA2">
        <w:rPr>
          <w:rFonts w:cs="Arial"/>
        </w:rPr>
        <w:t>Jeux de savoir</w:t>
      </w:r>
      <w:r w:rsidRPr="00116AA2">
        <w:rPr>
          <w:rFonts w:cs="Arial"/>
        </w:rPr>
        <w:t>,</w:t>
      </w:r>
      <w:r>
        <w:rPr>
          <w:rFonts w:cs="Arial"/>
          <w:i/>
        </w:rPr>
        <w:t xml:space="preserve"> </w:t>
      </w:r>
      <w:r w:rsidR="00B43C4E" w:rsidRPr="00B43C4E">
        <w:rPr>
          <w:rFonts w:cs="Arial"/>
        </w:rPr>
        <w:t>Rennes</w:t>
      </w:r>
      <w:r>
        <w:rPr>
          <w:rFonts w:cs="Arial"/>
        </w:rPr>
        <w:t>,</w:t>
      </w:r>
      <w:r w:rsidR="00B43C4E" w:rsidRPr="00B43C4E">
        <w:rPr>
          <w:rFonts w:cs="Arial"/>
        </w:rPr>
        <w:t xml:space="preserve"> PUR.</w:t>
      </w:r>
    </w:p>
    <w:p w14:paraId="59C4A6BD" w14:textId="58D5F349" w:rsidR="00610617" w:rsidRPr="00B43C4E" w:rsidRDefault="00610617" w:rsidP="00B43C4E">
      <w:pPr>
        <w:rPr>
          <w:rFonts w:cs="Arial"/>
        </w:rPr>
      </w:pPr>
      <w:r>
        <w:rPr>
          <w:rFonts w:cs="Times New Roman"/>
        </w:rPr>
        <w:t xml:space="preserve">Sensevy </w:t>
      </w:r>
      <w:r>
        <w:rPr>
          <w:rFonts w:cs="Times New Roman"/>
        </w:rPr>
        <w:t xml:space="preserve">Gérard </w:t>
      </w:r>
      <w:r>
        <w:rPr>
          <w:rFonts w:cs="Times New Roman"/>
        </w:rPr>
        <w:t>&amp; Mercier</w:t>
      </w:r>
      <w:r>
        <w:rPr>
          <w:rFonts w:cs="Times New Roman"/>
        </w:rPr>
        <w:t xml:space="preserve"> Alain (Dir.)</w:t>
      </w:r>
      <w:r>
        <w:rPr>
          <w:rFonts w:cs="Times New Roman"/>
        </w:rPr>
        <w:t>, 2007</w:t>
      </w:r>
      <w:r>
        <w:rPr>
          <w:rFonts w:cs="Times New Roman"/>
        </w:rPr>
        <w:t>, Agir ensemble. L’action didactique conjointe du professeur et des élèves,</w:t>
      </w:r>
      <w:r>
        <w:rPr>
          <w:rFonts w:cs="Arial"/>
          <w:i/>
        </w:rPr>
        <w:t xml:space="preserve"> </w:t>
      </w:r>
      <w:r w:rsidRPr="00B43C4E">
        <w:rPr>
          <w:rFonts w:cs="Arial"/>
        </w:rPr>
        <w:t>Rennes</w:t>
      </w:r>
      <w:r>
        <w:rPr>
          <w:rFonts w:cs="Arial"/>
        </w:rPr>
        <w:t>,</w:t>
      </w:r>
      <w:r w:rsidRPr="00B43C4E">
        <w:rPr>
          <w:rFonts w:cs="Arial"/>
        </w:rPr>
        <w:t xml:space="preserve"> PUR.</w:t>
      </w:r>
    </w:p>
    <w:p w14:paraId="4AB07C88" w14:textId="68DF168B" w:rsidR="00B43C4E" w:rsidRPr="00B43C4E" w:rsidRDefault="00B43C4E" w:rsidP="00B43C4E">
      <w:pPr>
        <w:rPr>
          <w:rStyle w:val="hps"/>
          <w:rFonts w:cs="Arial"/>
        </w:rPr>
      </w:pPr>
      <w:r w:rsidRPr="00B43C4E">
        <w:rPr>
          <w:rFonts w:cs="Arial"/>
        </w:rPr>
        <w:t>Sensevy G</w:t>
      </w:r>
      <w:r w:rsidR="00116AA2">
        <w:rPr>
          <w:rFonts w:cs="Arial"/>
        </w:rPr>
        <w:t>érard,</w:t>
      </w:r>
      <w:r w:rsidRPr="00B43C4E">
        <w:rPr>
          <w:rFonts w:cs="Arial"/>
        </w:rPr>
        <w:t xml:space="preserve"> 2011</w:t>
      </w:r>
      <w:r w:rsidR="00116AA2">
        <w:rPr>
          <w:rFonts w:cs="Arial"/>
        </w:rPr>
        <w:t>,</w:t>
      </w:r>
      <w:r w:rsidRPr="00B43C4E">
        <w:rPr>
          <w:rFonts w:cs="Arial"/>
        </w:rPr>
        <w:t xml:space="preserve"> </w:t>
      </w:r>
      <w:r w:rsidRPr="00116AA2">
        <w:rPr>
          <w:rFonts w:cs="Arial"/>
          <w:iCs/>
        </w:rPr>
        <w:t>Le Sens du Savoir. Eléments pour une théorie de l’action conjointe en didactique</w:t>
      </w:r>
      <w:r w:rsidR="00116AA2">
        <w:rPr>
          <w:rFonts w:cs="Arial"/>
          <w:iCs/>
        </w:rPr>
        <w:t>,</w:t>
      </w:r>
      <w:r w:rsidR="00116AA2">
        <w:rPr>
          <w:rFonts w:cs="Arial"/>
        </w:rPr>
        <w:t xml:space="preserve"> Bruxelles,</w:t>
      </w:r>
      <w:r w:rsidRPr="00B43C4E">
        <w:rPr>
          <w:rFonts w:cs="Arial"/>
        </w:rPr>
        <w:t xml:space="preserve"> De Boeck.</w:t>
      </w:r>
    </w:p>
    <w:p w14:paraId="668DE21B" w14:textId="77777777" w:rsidR="00A465D8" w:rsidRPr="00A465D8" w:rsidRDefault="00A465D8">
      <w:pPr>
        <w:rPr>
          <w:lang w:val="en-US"/>
        </w:rPr>
      </w:pPr>
    </w:p>
    <w:sectPr w:rsidR="00A465D8" w:rsidRPr="00A465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F366FC"/>
    <w:multiLevelType w:val="multilevel"/>
    <w:tmpl w:val="44B89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5D8"/>
    <w:rsid w:val="000C3144"/>
    <w:rsid w:val="00116AA2"/>
    <w:rsid w:val="001A662F"/>
    <w:rsid w:val="001B28D7"/>
    <w:rsid w:val="00266E53"/>
    <w:rsid w:val="00277DCE"/>
    <w:rsid w:val="00610617"/>
    <w:rsid w:val="006B251E"/>
    <w:rsid w:val="007966FA"/>
    <w:rsid w:val="007B7484"/>
    <w:rsid w:val="009A7F6F"/>
    <w:rsid w:val="00A465D8"/>
    <w:rsid w:val="00A81C1E"/>
    <w:rsid w:val="00AC43CC"/>
    <w:rsid w:val="00B43C4E"/>
    <w:rsid w:val="00B92D98"/>
    <w:rsid w:val="00D65E9D"/>
    <w:rsid w:val="00F30BC5"/>
    <w:rsid w:val="00F6144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98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C1E"/>
    <w:pPr>
      <w:spacing w:after="60" w:line="240" w:lineRule="auto"/>
      <w:ind w:firstLine="284"/>
      <w:jc w:val="both"/>
    </w:pPr>
    <w:rPr>
      <w:rFonts w:ascii="Arial" w:eastAsiaTheme="minorEastAsia" w:hAnsi="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biblio">
    <w:name w:val="adbiblio"/>
    <w:rsid w:val="00A465D8"/>
    <w:pPr>
      <w:spacing w:after="0" w:line="240" w:lineRule="auto"/>
      <w:ind w:left="567" w:hanging="567"/>
    </w:pPr>
    <w:rPr>
      <w:rFonts w:ascii="Times New Roman" w:eastAsia="Times New Roman" w:hAnsi="Times New Roman" w:cs="Times-Roman"/>
      <w:sz w:val="24"/>
      <w:szCs w:val="24"/>
      <w:lang w:eastAsia="fr-FR" w:bidi="fr-FR"/>
    </w:rPr>
  </w:style>
  <w:style w:type="character" w:customStyle="1" w:styleId="longtext">
    <w:name w:val="long_text"/>
    <w:basedOn w:val="DefaultParagraphFont"/>
    <w:rsid w:val="00F30BC5"/>
  </w:style>
  <w:style w:type="character" w:customStyle="1" w:styleId="hps">
    <w:name w:val="hps"/>
    <w:basedOn w:val="DefaultParagraphFont"/>
    <w:rsid w:val="00F30BC5"/>
  </w:style>
  <w:style w:type="paragraph" w:styleId="NormalWeb">
    <w:name w:val="Normal (Web)"/>
    <w:basedOn w:val="Normal"/>
    <w:uiPriority w:val="99"/>
    <w:semiHidden/>
    <w:unhideWhenUsed/>
    <w:rsid w:val="001A662F"/>
    <w:rPr>
      <w:rFonts w:ascii="Times New Roman" w:hAnsi="Times New Roman" w:cs="Times New Roman"/>
      <w:sz w:val="24"/>
      <w:szCs w:val="24"/>
    </w:rPr>
  </w:style>
  <w:style w:type="character" w:styleId="Hyperlink">
    <w:name w:val="Hyperlink"/>
    <w:basedOn w:val="DefaultParagraphFont"/>
    <w:uiPriority w:val="99"/>
    <w:unhideWhenUsed/>
    <w:rsid w:val="001A662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C1E"/>
    <w:pPr>
      <w:spacing w:after="60" w:line="240" w:lineRule="auto"/>
      <w:ind w:firstLine="284"/>
      <w:jc w:val="both"/>
    </w:pPr>
    <w:rPr>
      <w:rFonts w:ascii="Arial" w:eastAsiaTheme="minorEastAsia" w:hAnsi="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biblio">
    <w:name w:val="adbiblio"/>
    <w:rsid w:val="00A465D8"/>
    <w:pPr>
      <w:spacing w:after="0" w:line="240" w:lineRule="auto"/>
      <w:ind w:left="567" w:hanging="567"/>
    </w:pPr>
    <w:rPr>
      <w:rFonts w:ascii="Times New Roman" w:eastAsia="Times New Roman" w:hAnsi="Times New Roman" w:cs="Times-Roman"/>
      <w:sz w:val="24"/>
      <w:szCs w:val="24"/>
      <w:lang w:eastAsia="fr-FR" w:bidi="fr-FR"/>
    </w:rPr>
  </w:style>
  <w:style w:type="character" w:customStyle="1" w:styleId="longtext">
    <w:name w:val="long_text"/>
    <w:basedOn w:val="DefaultParagraphFont"/>
    <w:rsid w:val="00F30BC5"/>
  </w:style>
  <w:style w:type="character" w:customStyle="1" w:styleId="hps">
    <w:name w:val="hps"/>
    <w:basedOn w:val="DefaultParagraphFont"/>
    <w:rsid w:val="00F30BC5"/>
  </w:style>
  <w:style w:type="paragraph" w:styleId="NormalWeb">
    <w:name w:val="Normal (Web)"/>
    <w:basedOn w:val="Normal"/>
    <w:uiPriority w:val="99"/>
    <w:semiHidden/>
    <w:unhideWhenUsed/>
    <w:rsid w:val="001A662F"/>
    <w:rPr>
      <w:rFonts w:ascii="Times New Roman" w:hAnsi="Times New Roman" w:cs="Times New Roman"/>
      <w:sz w:val="24"/>
      <w:szCs w:val="24"/>
    </w:rPr>
  </w:style>
  <w:style w:type="character" w:styleId="Hyperlink">
    <w:name w:val="Hyperlink"/>
    <w:basedOn w:val="DefaultParagraphFont"/>
    <w:uiPriority w:val="99"/>
    <w:unhideWhenUsed/>
    <w:rsid w:val="001A66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88827">
      <w:bodyDiv w:val="1"/>
      <w:marLeft w:val="0"/>
      <w:marRight w:val="0"/>
      <w:marTop w:val="0"/>
      <w:marBottom w:val="0"/>
      <w:divBdr>
        <w:top w:val="none" w:sz="0" w:space="0" w:color="auto"/>
        <w:left w:val="none" w:sz="0" w:space="0" w:color="auto"/>
        <w:bottom w:val="none" w:sz="0" w:space="0" w:color="auto"/>
        <w:right w:val="none" w:sz="0" w:space="0" w:color="auto"/>
      </w:divBdr>
    </w:div>
    <w:div w:id="151918262">
      <w:bodyDiv w:val="1"/>
      <w:marLeft w:val="0"/>
      <w:marRight w:val="0"/>
      <w:marTop w:val="0"/>
      <w:marBottom w:val="0"/>
      <w:divBdr>
        <w:top w:val="none" w:sz="0" w:space="0" w:color="auto"/>
        <w:left w:val="none" w:sz="0" w:space="0" w:color="auto"/>
        <w:bottom w:val="none" w:sz="0" w:space="0" w:color="auto"/>
        <w:right w:val="none" w:sz="0" w:space="0" w:color="auto"/>
      </w:divBdr>
    </w:div>
    <w:div w:id="235626081">
      <w:bodyDiv w:val="1"/>
      <w:marLeft w:val="0"/>
      <w:marRight w:val="0"/>
      <w:marTop w:val="0"/>
      <w:marBottom w:val="0"/>
      <w:divBdr>
        <w:top w:val="none" w:sz="0" w:space="0" w:color="auto"/>
        <w:left w:val="none" w:sz="0" w:space="0" w:color="auto"/>
        <w:bottom w:val="none" w:sz="0" w:space="0" w:color="auto"/>
        <w:right w:val="none" w:sz="0" w:space="0" w:color="auto"/>
      </w:divBdr>
    </w:div>
    <w:div w:id="429669575">
      <w:bodyDiv w:val="1"/>
      <w:marLeft w:val="0"/>
      <w:marRight w:val="0"/>
      <w:marTop w:val="0"/>
      <w:marBottom w:val="0"/>
      <w:divBdr>
        <w:top w:val="none" w:sz="0" w:space="0" w:color="auto"/>
        <w:left w:val="none" w:sz="0" w:space="0" w:color="auto"/>
        <w:bottom w:val="none" w:sz="0" w:space="0" w:color="auto"/>
        <w:right w:val="none" w:sz="0" w:space="0" w:color="auto"/>
      </w:divBdr>
    </w:div>
    <w:div w:id="555631378">
      <w:bodyDiv w:val="1"/>
      <w:marLeft w:val="0"/>
      <w:marRight w:val="0"/>
      <w:marTop w:val="0"/>
      <w:marBottom w:val="0"/>
      <w:divBdr>
        <w:top w:val="none" w:sz="0" w:space="0" w:color="auto"/>
        <w:left w:val="none" w:sz="0" w:space="0" w:color="auto"/>
        <w:bottom w:val="none" w:sz="0" w:space="0" w:color="auto"/>
        <w:right w:val="none" w:sz="0" w:space="0" w:color="auto"/>
      </w:divBdr>
    </w:div>
    <w:div w:id="794759434">
      <w:bodyDiv w:val="1"/>
      <w:marLeft w:val="0"/>
      <w:marRight w:val="0"/>
      <w:marTop w:val="0"/>
      <w:marBottom w:val="0"/>
      <w:divBdr>
        <w:top w:val="none" w:sz="0" w:space="0" w:color="auto"/>
        <w:left w:val="none" w:sz="0" w:space="0" w:color="auto"/>
        <w:bottom w:val="none" w:sz="0" w:space="0" w:color="auto"/>
        <w:right w:val="none" w:sz="0" w:space="0" w:color="auto"/>
      </w:divBdr>
      <w:divsChild>
        <w:div w:id="2014841588">
          <w:marLeft w:val="0"/>
          <w:marRight w:val="0"/>
          <w:marTop w:val="0"/>
          <w:marBottom w:val="0"/>
          <w:divBdr>
            <w:top w:val="none" w:sz="0" w:space="0" w:color="auto"/>
            <w:left w:val="none" w:sz="0" w:space="0" w:color="auto"/>
            <w:bottom w:val="none" w:sz="0" w:space="0" w:color="auto"/>
            <w:right w:val="none" w:sz="0" w:space="0" w:color="auto"/>
          </w:divBdr>
        </w:div>
      </w:divsChild>
    </w:div>
    <w:div w:id="805053093">
      <w:bodyDiv w:val="1"/>
      <w:marLeft w:val="0"/>
      <w:marRight w:val="0"/>
      <w:marTop w:val="0"/>
      <w:marBottom w:val="0"/>
      <w:divBdr>
        <w:top w:val="none" w:sz="0" w:space="0" w:color="auto"/>
        <w:left w:val="none" w:sz="0" w:space="0" w:color="auto"/>
        <w:bottom w:val="none" w:sz="0" w:space="0" w:color="auto"/>
        <w:right w:val="none" w:sz="0" w:space="0" w:color="auto"/>
      </w:divBdr>
    </w:div>
    <w:div w:id="825319517">
      <w:bodyDiv w:val="1"/>
      <w:marLeft w:val="0"/>
      <w:marRight w:val="0"/>
      <w:marTop w:val="0"/>
      <w:marBottom w:val="0"/>
      <w:divBdr>
        <w:top w:val="none" w:sz="0" w:space="0" w:color="auto"/>
        <w:left w:val="none" w:sz="0" w:space="0" w:color="auto"/>
        <w:bottom w:val="none" w:sz="0" w:space="0" w:color="auto"/>
        <w:right w:val="none" w:sz="0" w:space="0" w:color="auto"/>
      </w:divBdr>
    </w:div>
    <w:div w:id="960184728">
      <w:bodyDiv w:val="1"/>
      <w:marLeft w:val="0"/>
      <w:marRight w:val="0"/>
      <w:marTop w:val="0"/>
      <w:marBottom w:val="0"/>
      <w:divBdr>
        <w:top w:val="none" w:sz="0" w:space="0" w:color="auto"/>
        <w:left w:val="none" w:sz="0" w:space="0" w:color="auto"/>
        <w:bottom w:val="none" w:sz="0" w:space="0" w:color="auto"/>
        <w:right w:val="none" w:sz="0" w:space="0" w:color="auto"/>
      </w:divBdr>
    </w:div>
    <w:div w:id="1165977735">
      <w:bodyDiv w:val="1"/>
      <w:marLeft w:val="0"/>
      <w:marRight w:val="0"/>
      <w:marTop w:val="0"/>
      <w:marBottom w:val="0"/>
      <w:divBdr>
        <w:top w:val="none" w:sz="0" w:space="0" w:color="auto"/>
        <w:left w:val="none" w:sz="0" w:space="0" w:color="auto"/>
        <w:bottom w:val="none" w:sz="0" w:space="0" w:color="auto"/>
        <w:right w:val="none" w:sz="0" w:space="0" w:color="auto"/>
      </w:divBdr>
    </w:div>
    <w:div w:id="1469398071">
      <w:bodyDiv w:val="1"/>
      <w:marLeft w:val="0"/>
      <w:marRight w:val="0"/>
      <w:marTop w:val="0"/>
      <w:marBottom w:val="0"/>
      <w:divBdr>
        <w:top w:val="none" w:sz="0" w:space="0" w:color="auto"/>
        <w:left w:val="none" w:sz="0" w:space="0" w:color="auto"/>
        <w:bottom w:val="none" w:sz="0" w:space="0" w:color="auto"/>
        <w:right w:val="none" w:sz="0" w:space="0" w:color="auto"/>
      </w:divBdr>
    </w:div>
    <w:div w:id="1636569663">
      <w:bodyDiv w:val="1"/>
      <w:marLeft w:val="0"/>
      <w:marRight w:val="0"/>
      <w:marTop w:val="0"/>
      <w:marBottom w:val="0"/>
      <w:divBdr>
        <w:top w:val="none" w:sz="0" w:space="0" w:color="auto"/>
        <w:left w:val="none" w:sz="0" w:space="0" w:color="auto"/>
        <w:bottom w:val="none" w:sz="0" w:space="0" w:color="auto"/>
        <w:right w:val="none" w:sz="0" w:space="0" w:color="auto"/>
      </w:divBdr>
    </w:div>
    <w:div w:id="1764450317">
      <w:bodyDiv w:val="1"/>
      <w:marLeft w:val="0"/>
      <w:marRight w:val="0"/>
      <w:marTop w:val="0"/>
      <w:marBottom w:val="0"/>
      <w:divBdr>
        <w:top w:val="none" w:sz="0" w:space="0" w:color="auto"/>
        <w:left w:val="none" w:sz="0" w:space="0" w:color="auto"/>
        <w:bottom w:val="none" w:sz="0" w:space="0" w:color="auto"/>
        <w:right w:val="none" w:sz="0" w:space="0" w:color="auto"/>
      </w:divBdr>
      <w:divsChild>
        <w:div w:id="942493381">
          <w:marLeft w:val="0"/>
          <w:marRight w:val="0"/>
          <w:marTop w:val="0"/>
          <w:marBottom w:val="0"/>
          <w:divBdr>
            <w:top w:val="none" w:sz="0" w:space="0" w:color="auto"/>
            <w:left w:val="none" w:sz="0" w:space="0" w:color="auto"/>
            <w:bottom w:val="none" w:sz="0" w:space="0" w:color="auto"/>
            <w:right w:val="none" w:sz="0" w:space="0" w:color="auto"/>
          </w:divBdr>
        </w:div>
      </w:divsChild>
    </w:div>
    <w:div w:id="188667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580B2-056B-C74E-8AC7-A90C3880E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596</Words>
  <Characters>3403</Characters>
  <Application>Microsoft Macintosh Word</Application>
  <DocSecurity>0</DocSecurity>
  <Lines>60</Lines>
  <Paragraphs>21</Paragraphs>
  <ScaleCrop>false</ScaleCrop>
  <HeadingPairs>
    <vt:vector size="2" baseType="variant">
      <vt:variant>
        <vt:lpstr>Titre</vt:lpstr>
      </vt:variant>
      <vt:variant>
        <vt:i4>1</vt:i4>
      </vt:variant>
    </vt:vector>
  </HeadingPairs>
  <TitlesOfParts>
    <vt:vector size="1" baseType="lpstr">
      <vt:lpstr/>
    </vt:vector>
  </TitlesOfParts>
  <Company>ENS de Lyon</Company>
  <LinksUpToDate>false</LinksUpToDate>
  <CharactersWithSpaces>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Favelier</dc:creator>
  <cp:lastModifiedBy>Brigitte Gruson</cp:lastModifiedBy>
  <cp:revision>10</cp:revision>
  <dcterms:created xsi:type="dcterms:W3CDTF">2014-04-07T08:06:00Z</dcterms:created>
  <dcterms:modified xsi:type="dcterms:W3CDTF">2014-04-07T09:59:00Z</dcterms:modified>
</cp:coreProperties>
</file>